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F62BBB" w:rsidRDefault="00F62BBB" w:rsidP="00F62BBB">
      <w:pPr>
        <w:jc w:val="center"/>
        <w:rPr>
          <w:rFonts w:ascii="Arial" w:hAnsi="Arial" w:cs="Arial"/>
        </w:rPr>
      </w:pPr>
      <w:r w:rsidRPr="00F62BBB">
        <w:rPr>
          <w:rFonts w:ascii="Arial" w:hAnsi="Arial" w:cs="Arial"/>
          <w:b/>
          <w:bCs/>
          <w:iCs/>
          <w:sz w:val="32"/>
          <w:szCs w:val="32"/>
        </w:rPr>
        <w:t xml:space="preserve">MoS2 </w:t>
      </w:r>
      <w:proofErr w:type="spellStart"/>
      <w:proofErr w:type="gramStart"/>
      <w:r w:rsidRPr="00F62BBB">
        <w:rPr>
          <w:rFonts w:ascii="Arial" w:hAnsi="Arial" w:cs="Arial"/>
          <w:b/>
          <w:bCs/>
          <w:iCs/>
          <w:sz w:val="32"/>
          <w:szCs w:val="32"/>
        </w:rPr>
        <w:t>Hochdruckfett</w:t>
      </w:r>
      <w:proofErr w:type="spellEnd"/>
      <w:r w:rsidRPr="00F62BBB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="0074405C">
        <w:rPr>
          <w:rFonts w:ascii="Arial" w:hAnsi="Arial" w:cs="Arial"/>
          <w:b/>
          <w:bCs/>
          <w:iCs/>
          <w:sz w:val="32"/>
          <w:szCs w:val="32"/>
        </w:rPr>
        <w:t>U</w:t>
      </w:r>
      <w:r w:rsidRPr="00F62BBB">
        <w:rPr>
          <w:rFonts w:ascii="Arial" w:hAnsi="Arial" w:cs="Arial"/>
          <w:b/>
          <w:bCs/>
          <w:iCs/>
          <w:sz w:val="32"/>
          <w:szCs w:val="32"/>
        </w:rPr>
        <w:t>nsoare</w:t>
      </w:r>
      <w:proofErr w:type="spellEnd"/>
      <w:r w:rsidRPr="00F62BBB">
        <w:rPr>
          <w:rFonts w:ascii="Arial" w:hAnsi="Arial" w:cs="Arial"/>
          <w:b/>
          <w:bCs/>
          <w:iCs/>
          <w:sz w:val="32"/>
          <w:szCs w:val="32"/>
        </w:rPr>
        <w:t xml:space="preserve"> de </w:t>
      </w:r>
      <w:proofErr w:type="spellStart"/>
      <w:r w:rsidRPr="00F62BBB">
        <w:rPr>
          <w:rFonts w:ascii="Arial" w:hAnsi="Arial" w:cs="Arial"/>
          <w:b/>
          <w:bCs/>
          <w:iCs/>
          <w:sz w:val="32"/>
          <w:szCs w:val="32"/>
        </w:rPr>
        <w:t>presiune</w:t>
      </w:r>
      <w:proofErr w:type="spellEnd"/>
      <w:r w:rsidRPr="00F62BBB">
        <w:rPr>
          <w:rFonts w:ascii="Arial" w:hAnsi="Arial" w:cs="Arial"/>
          <w:b/>
          <w:bCs/>
          <w:iCs/>
          <w:sz w:val="32"/>
          <w:szCs w:val="32"/>
        </w:rPr>
        <w:t xml:space="preserve"> MoS2)</w:t>
      </w:r>
    </w:p>
    <w:p w:rsidR="00F62BBB" w:rsidRDefault="00F62BBB"/>
    <w:p w:rsidR="00F62BBB" w:rsidRDefault="00F62BBB" w:rsidP="00F62BBB">
      <w:pPr>
        <w:jc w:val="center"/>
      </w:pPr>
      <w:r>
        <w:rPr>
          <w:noProof/>
        </w:rPr>
        <w:drawing>
          <wp:inline distT="0" distB="0" distL="0" distR="0">
            <wp:extent cx="374650" cy="151193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BB" w:rsidRDefault="00F62BBB" w:rsidP="00F62BBB">
      <w:pPr>
        <w:jc w:val="center"/>
      </w:pPr>
    </w:p>
    <w:p w:rsidR="005A15C9" w:rsidRPr="0074405C" w:rsidRDefault="0074405C" w:rsidP="0074405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4405C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74405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4405C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74405C">
        <w:rPr>
          <w:rFonts w:ascii="Arial" w:hAnsi="Arial" w:cs="Arial"/>
          <w:b/>
          <w:sz w:val="24"/>
          <w:szCs w:val="24"/>
          <w:u w:val="single"/>
        </w:rPr>
        <w:t>:</w:t>
      </w:r>
    </w:p>
    <w:p w:rsidR="00F62BBB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74405C">
        <w:rPr>
          <w:rFonts w:ascii="Arial" w:hAnsi="Arial" w:cs="Arial"/>
          <w:sz w:val="24"/>
          <w:szCs w:val="24"/>
        </w:rPr>
        <w:t>U</w:t>
      </w:r>
      <w:r w:rsidR="00F62BBB" w:rsidRPr="0074405C">
        <w:rPr>
          <w:rFonts w:ascii="Arial" w:hAnsi="Arial" w:cs="Arial"/>
          <w:sz w:val="24"/>
          <w:szCs w:val="24"/>
        </w:rPr>
        <w:t>nsoare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universală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pentru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lubrifierea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rulmenţi</w:t>
      </w:r>
      <w:r w:rsidR="005A15C9" w:rsidRPr="0074405C">
        <w:rPr>
          <w:rFonts w:ascii="Arial" w:hAnsi="Arial" w:cs="Arial"/>
          <w:sz w:val="24"/>
          <w:szCs w:val="24"/>
        </w:rPr>
        <w:t>lor</w:t>
      </w:r>
      <w:proofErr w:type="spellEnd"/>
      <w:r w:rsidR="005A15C9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5C9" w:rsidRPr="0074405C">
        <w:rPr>
          <w:rFonts w:ascii="Arial" w:hAnsi="Arial" w:cs="Arial"/>
          <w:sz w:val="24"/>
          <w:szCs w:val="24"/>
        </w:rPr>
        <w:t>simpli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5C9" w:rsidRPr="0074405C">
        <w:rPr>
          <w:rFonts w:ascii="Arial" w:hAnsi="Arial" w:cs="Arial"/>
          <w:sz w:val="24"/>
          <w:szCs w:val="24"/>
        </w:rPr>
        <w:t>şi</w:t>
      </w:r>
      <w:proofErr w:type="spellEnd"/>
      <w:r w:rsidR="005A15C9" w:rsidRPr="0074405C">
        <w:rPr>
          <w:rFonts w:ascii="Arial" w:hAnsi="Arial" w:cs="Arial"/>
          <w:sz w:val="24"/>
          <w:szCs w:val="24"/>
        </w:rPr>
        <w:t xml:space="preserve"> </w:t>
      </w:r>
      <w:r w:rsidR="00F62BBB" w:rsidRPr="0074405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asemenea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în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frecare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mixte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toate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vitezele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alunecare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admisă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pentru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lubrifiere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grasa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. Reduce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frecarea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şi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uzura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sarcini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ridicate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F62BBB" w:rsidRPr="0074405C">
        <w:rPr>
          <w:rFonts w:ascii="Arial" w:hAnsi="Arial" w:cs="Arial"/>
          <w:sz w:val="24"/>
          <w:szCs w:val="24"/>
        </w:rPr>
        <w:t>Protecţia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împotriva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coroziunii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şi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ungere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întreţinerea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în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prezenţa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apei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>.</w:t>
      </w:r>
      <w:proofErr w:type="gramEnd"/>
    </w:p>
    <w:p w:rsidR="00AA056F" w:rsidRPr="0074405C" w:rsidRDefault="00AA056F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405C">
        <w:rPr>
          <w:rFonts w:ascii="Arial" w:hAnsi="Arial" w:cs="Arial"/>
          <w:sz w:val="24"/>
          <w:szCs w:val="24"/>
        </w:rPr>
        <w:t>Lubrifiantul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acţionează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mecanic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datorita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bisulfura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molibden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solide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>.</w:t>
      </w:r>
      <w:proofErr w:type="gramEnd"/>
      <w:r w:rsidR="00F62BBB" w:rsidRPr="0074405C">
        <w:rPr>
          <w:rFonts w:ascii="Arial" w:hAnsi="Arial" w:cs="Arial"/>
          <w:sz w:val="24"/>
          <w:szCs w:val="24"/>
        </w:rPr>
        <w:t xml:space="preserve"> </w:t>
      </w:r>
    </w:p>
    <w:p w:rsidR="00F62BBB" w:rsidRPr="0074405C" w:rsidRDefault="00F62BBB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74405C">
        <w:rPr>
          <w:rFonts w:ascii="Arial" w:hAnsi="Arial" w:cs="Arial"/>
          <w:sz w:val="24"/>
          <w:szCs w:val="24"/>
        </w:rPr>
        <w:t>Acest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lubrifiant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solid </w:t>
      </w:r>
      <w:proofErr w:type="spellStart"/>
      <w:proofErr w:type="gramStart"/>
      <w:r w:rsidRPr="0074405C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depus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în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ti</w:t>
      </w:r>
      <w:r w:rsidR="00AA056F" w:rsidRPr="0074405C">
        <w:rPr>
          <w:rFonts w:ascii="Arial" w:hAnsi="Arial" w:cs="Arial"/>
          <w:sz w:val="24"/>
          <w:szCs w:val="24"/>
        </w:rPr>
        <w:t>mp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pe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suprafaţa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alunecare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şi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form</w:t>
      </w:r>
      <w:r w:rsidR="00AA056F" w:rsidRPr="0074405C">
        <w:rPr>
          <w:rFonts w:ascii="Arial" w:hAnsi="Arial" w:cs="Arial"/>
          <w:sz w:val="24"/>
          <w:szCs w:val="24"/>
        </w:rPr>
        <w:t>eaza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straturi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unsoare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neutre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4405C">
        <w:rPr>
          <w:rFonts w:ascii="Arial" w:hAnsi="Arial" w:cs="Arial"/>
          <w:sz w:val="24"/>
          <w:szCs w:val="24"/>
        </w:rPr>
        <w:t>Acest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lucru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conferă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proprietăţi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pronunţate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gresare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si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reducere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frecarii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cauciucurilor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plate.</w:t>
      </w:r>
      <w:proofErr w:type="gramEnd"/>
    </w:p>
    <w:p w:rsidR="00F62BBB" w:rsidRDefault="00AA056F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4405C">
        <w:rPr>
          <w:rFonts w:ascii="Arial" w:hAnsi="Arial" w:cs="Arial"/>
          <w:sz w:val="24"/>
          <w:szCs w:val="24"/>
        </w:rPr>
        <w:t xml:space="preserve"> </w:t>
      </w:r>
    </w:p>
    <w:p w:rsidR="0074405C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A15C9" w:rsidRPr="0074405C" w:rsidRDefault="0074405C" w:rsidP="0074405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4405C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74405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74405C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74405C">
        <w:rPr>
          <w:rFonts w:ascii="Arial" w:hAnsi="Arial" w:cs="Arial"/>
          <w:b/>
          <w:sz w:val="24"/>
          <w:szCs w:val="24"/>
          <w:u w:val="single"/>
        </w:rPr>
        <w:t>:</w:t>
      </w:r>
    </w:p>
    <w:p w:rsidR="00F62BBB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74405C">
        <w:rPr>
          <w:rFonts w:ascii="Arial" w:hAnsi="Arial" w:cs="Arial"/>
          <w:sz w:val="24"/>
          <w:szCs w:val="24"/>
        </w:rPr>
        <w:t>Utilizat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in p</w:t>
      </w:r>
      <w:r w:rsidR="00F62BBB" w:rsidRPr="0074405C">
        <w:rPr>
          <w:rFonts w:ascii="Arial" w:hAnsi="Arial" w:cs="Arial"/>
          <w:sz w:val="24"/>
          <w:szCs w:val="24"/>
        </w:rPr>
        <w:t xml:space="preserve">rincipal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pentru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ungere</w:t>
      </w:r>
      <w:r w:rsidR="00AA056F" w:rsidRPr="0074405C">
        <w:rPr>
          <w:rFonts w:ascii="Arial" w:hAnsi="Arial" w:cs="Arial"/>
          <w:sz w:val="24"/>
          <w:szCs w:val="24"/>
        </w:rPr>
        <w:t>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lagărelor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alunecare</w:t>
      </w:r>
      <w:proofErr w:type="spellEnd"/>
      <w:r w:rsidRPr="0074405C">
        <w:rPr>
          <w:rFonts w:ascii="Arial" w:hAnsi="Arial" w:cs="Arial"/>
          <w:sz w:val="24"/>
          <w:szCs w:val="24"/>
        </w:rPr>
        <w:t>,</w:t>
      </w:r>
      <w:r w:rsidR="00AA056F" w:rsidRPr="0074405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4405C">
        <w:rPr>
          <w:rFonts w:ascii="Arial" w:hAnsi="Arial" w:cs="Arial"/>
          <w:sz w:val="24"/>
          <w:szCs w:val="24"/>
        </w:rPr>
        <w:t>mişcări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relativ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lente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62BBB" w:rsidRPr="0074405C">
        <w:rPr>
          <w:rFonts w:ascii="Arial" w:hAnsi="Arial" w:cs="Arial"/>
          <w:sz w:val="24"/>
          <w:szCs w:val="24"/>
        </w:rPr>
        <w:t>sub</w:t>
      </w:r>
      <w:proofErr w:type="gram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presiune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extremă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şi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56F" w:rsidRPr="0074405C">
        <w:rPr>
          <w:rFonts w:ascii="Arial" w:hAnsi="Arial" w:cs="Arial"/>
          <w:sz w:val="24"/>
          <w:szCs w:val="24"/>
        </w:rPr>
        <w:t>supuse</w:t>
      </w:r>
      <w:proofErr w:type="spellEnd"/>
      <w:r w:rsidR="00AA056F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şoc</w:t>
      </w:r>
      <w:r w:rsidR="00AA056F" w:rsidRPr="0074405C">
        <w:rPr>
          <w:rFonts w:ascii="Arial" w:hAnsi="Arial" w:cs="Arial"/>
          <w:sz w:val="24"/>
          <w:szCs w:val="24"/>
        </w:rPr>
        <w:t>urilor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r w:rsidRPr="0074405C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74405C">
        <w:rPr>
          <w:rFonts w:ascii="Arial" w:hAnsi="Arial" w:cs="Arial"/>
          <w:sz w:val="24"/>
          <w:szCs w:val="24"/>
        </w:rPr>
        <w:t>utilizare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4405C">
        <w:rPr>
          <w:rFonts w:ascii="Arial" w:hAnsi="Arial" w:cs="Arial"/>
          <w:sz w:val="24"/>
          <w:szCs w:val="24"/>
        </w:rPr>
        <w:t>P</w:t>
      </w:r>
      <w:r w:rsidR="00F62BBB" w:rsidRPr="0074405C">
        <w:rPr>
          <w:rFonts w:ascii="Arial" w:hAnsi="Arial" w:cs="Arial"/>
          <w:sz w:val="24"/>
          <w:szCs w:val="24"/>
        </w:rPr>
        <w:t>entru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rulmenţi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simpli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r w:rsidR="00F62BBB" w:rsidRPr="0074405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toate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tipurile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în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condiţii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dificile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mediu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recomandate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>.</w:t>
      </w:r>
      <w:proofErr w:type="gramEnd"/>
    </w:p>
    <w:p w:rsidR="00F62BBB" w:rsidRDefault="00F62BBB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405C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A15C9" w:rsidRPr="0074405C" w:rsidRDefault="0074405C" w:rsidP="0074405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405C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74405C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74405C">
        <w:rPr>
          <w:rFonts w:ascii="Arial" w:hAnsi="Arial" w:cs="Arial"/>
          <w:b/>
          <w:sz w:val="24"/>
          <w:szCs w:val="24"/>
          <w:u w:val="single"/>
        </w:rPr>
        <w:t>:</w:t>
      </w:r>
    </w:p>
    <w:p w:rsidR="0074405C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74405C">
        <w:rPr>
          <w:rFonts w:ascii="Arial" w:hAnsi="Arial" w:cs="Arial"/>
          <w:sz w:val="24"/>
          <w:szCs w:val="24"/>
        </w:rPr>
        <w:t>Rezistenţa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4405C">
        <w:rPr>
          <w:rFonts w:ascii="Arial" w:hAnsi="Arial" w:cs="Arial"/>
          <w:sz w:val="24"/>
          <w:szCs w:val="24"/>
        </w:rPr>
        <w:t>temperatură</w:t>
      </w:r>
      <w:proofErr w:type="spellEnd"/>
      <w:r w:rsidRPr="0074405C">
        <w:rPr>
          <w:rFonts w:ascii="Arial" w:hAnsi="Arial" w:cs="Arial"/>
          <w:sz w:val="24"/>
          <w:szCs w:val="24"/>
        </w:rPr>
        <w:t>: -30°C la +120°</w:t>
      </w:r>
      <w:r w:rsidR="00F62BBB" w:rsidRPr="0074405C">
        <w:rPr>
          <w:rFonts w:ascii="Arial" w:hAnsi="Arial" w:cs="Arial"/>
          <w:sz w:val="24"/>
          <w:szCs w:val="24"/>
        </w:rPr>
        <w:t xml:space="preserve">C </w:t>
      </w:r>
      <w:r w:rsidRPr="0074405C">
        <w:rPr>
          <w:rFonts w:ascii="Arial" w:hAnsi="Arial" w:cs="Arial"/>
          <w:sz w:val="24"/>
          <w:szCs w:val="24"/>
        </w:rPr>
        <w:t>DIN 51 825 (</w:t>
      </w:r>
      <w:proofErr w:type="spellStart"/>
      <w:r w:rsidRPr="0074405C">
        <w:rPr>
          <w:rFonts w:ascii="Arial" w:hAnsi="Arial" w:cs="Arial"/>
          <w:sz w:val="24"/>
          <w:szCs w:val="24"/>
        </w:rPr>
        <w:t>pe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termen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scurt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130°</w:t>
      </w:r>
      <w:r w:rsidR="00F62BBB" w:rsidRPr="0074405C">
        <w:rPr>
          <w:rFonts w:ascii="Arial" w:hAnsi="Arial" w:cs="Arial"/>
          <w:sz w:val="24"/>
          <w:szCs w:val="24"/>
        </w:rPr>
        <w:t>C)</w:t>
      </w:r>
      <w:r w:rsidRPr="0074405C">
        <w:rPr>
          <w:rFonts w:ascii="Arial" w:hAnsi="Arial" w:cs="Arial"/>
          <w:sz w:val="24"/>
          <w:szCs w:val="24"/>
        </w:rPr>
        <w:t>.</w:t>
      </w:r>
    </w:p>
    <w:p w:rsidR="0074405C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74405C">
        <w:rPr>
          <w:rFonts w:ascii="Arial" w:hAnsi="Arial" w:cs="Arial"/>
          <w:sz w:val="24"/>
          <w:szCs w:val="24"/>
        </w:rPr>
        <w:t>P</w:t>
      </w:r>
      <w:r w:rsidR="00F62BBB" w:rsidRPr="0074405C">
        <w:rPr>
          <w:rFonts w:ascii="Arial" w:hAnsi="Arial" w:cs="Arial"/>
          <w:sz w:val="24"/>
          <w:szCs w:val="24"/>
        </w:rPr>
        <w:t>unctul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Drop</w:t>
      </w:r>
      <w:r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4405C">
        <w:rPr>
          <w:rFonts w:ascii="Arial" w:hAnsi="Arial" w:cs="Arial"/>
          <w:sz w:val="24"/>
          <w:szCs w:val="24"/>
        </w:rPr>
        <w:t>picurare</w:t>
      </w:r>
      <w:proofErr w:type="spellEnd"/>
      <w:r w:rsidRPr="0074405C">
        <w:rPr>
          <w:rFonts w:ascii="Arial" w:hAnsi="Arial" w:cs="Arial"/>
          <w:sz w:val="24"/>
          <w:szCs w:val="24"/>
        </w:rPr>
        <w:t>: 180°</w:t>
      </w:r>
      <w:r w:rsidR="00F62BBB" w:rsidRPr="0074405C">
        <w:rPr>
          <w:rFonts w:ascii="Arial" w:hAnsi="Arial" w:cs="Arial"/>
          <w:sz w:val="24"/>
          <w:szCs w:val="24"/>
        </w:rPr>
        <w:t>C</w:t>
      </w:r>
      <w:r w:rsidRPr="0074405C">
        <w:rPr>
          <w:rFonts w:ascii="Arial" w:hAnsi="Arial" w:cs="Arial"/>
          <w:sz w:val="24"/>
          <w:szCs w:val="24"/>
        </w:rPr>
        <w:t>.</w:t>
      </w:r>
      <w:r w:rsidR="00F62BBB" w:rsidRPr="0074405C">
        <w:rPr>
          <w:rFonts w:ascii="Arial" w:hAnsi="Arial" w:cs="Arial"/>
          <w:sz w:val="24"/>
          <w:szCs w:val="24"/>
        </w:rPr>
        <w:t xml:space="preserve"> DIN ISO 217</w:t>
      </w:r>
      <w:r w:rsidRPr="0074405C">
        <w:rPr>
          <w:rFonts w:ascii="Arial" w:hAnsi="Arial" w:cs="Arial"/>
          <w:sz w:val="24"/>
          <w:szCs w:val="24"/>
        </w:rPr>
        <w:t xml:space="preserve">6 </w:t>
      </w:r>
    </w:p>
    <w:p w:rsidR="0074405C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74405C">
        <w:rPr>
          <w:rFonts w:ascii="Arial" w:hAnsi="Arial" w:cs="Arial"/>
          <w:sz w:val="24"/>
          <w:szCs w:val="24"/>
        </w:rPr>
        <w:t>Domeniu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clasificare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conform DIN 51818: NLGI-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Clasa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2</w:t>
      </w:r>
      <w:r w:rsidRPr="0074405C">
        <w:rPr>
          <w:rFonts w:ascii="Arial" w:hAnsi="Arial" w:cs="Arial"/>
          <w:sz w:val="24"/>
          <w:szCs w:val="24"/>
        </w:rPr>
        <w:t xml:space="preserve">. </w:t>
      </w:r>
    </w:p>
    <w:p w:rsidR="0074405C" w:rsidRPr="0074405C" w:rsidRDefault="0074405C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74405C">
        <w:rPr>
          <w:rFonts w:ascii="Arial" w:hAnsi="Arial" w:cs="Arial"/>
          <w:sz w:val="24"/>
          <w:szCs w:val="24"/>
        </w:rPr>
        <w:t>Clasificare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BBB" w:rsidRPr="0074405C">
        <w:rPr>
          <w:rFonts w:ascii="Arial" w:hAnsi="Arial" w:cs="Arial"/>
          <w:sz w:val="24"/>
          <w:szCs w:val="24"/>
        </w:rPr>
        <w:t>posibile</w:t>
      </w:r>
      <w:proofErr w:type="spellEnd"/>
      <w:r w:rsidR="00F62BBB" w:rsidRPr="0074405C">
        <w:rPr>
          <w:rFonts w:ascii="Arial" w:hAnsi="Arial" w:cs="Arial"/>
          <w:sz w:val="24"/>
          <w:szCs w:val="24"/>
        </w:rPr>
        <w:t xml:space="preserve"> conform DIN 51502: KPF2 K-30</w:t>
      </w:r>
      <w:r w:rsidRPr="0074405C">
        <w:rPr>
          <w:rFonts w:ascii="Arial" w:hAnsi="Arial" w:cs="Arial"/>
          <w:sz w:val="24"/>
          <w:szCs w:val="24"/>
        </w:rPr>
        <w:t>.</w:t>
      </w:r>
    </w:p>
    <w:p w:rsidR="00F62BBB" w:rsidRPr="0074405C" w:rsidRDefault="00F62BBB" w:rsidP="0074405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74405C">
        <w:rPr>
          <w:rFonts w:ascii="Arial" w:hAnsi="Arial" w:cs="Arial"/>
          <w:sz w:val="24"/>
          <w:szCs w:val="24"/>
        </w:rPr>
        <w:t>Culoare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4405C">
        <w:rPr>
          <w:rFonts w:ascii="Arial" w:hAnsi="Arial" w:cs="Arial"/>
          <w:sz w:val="24"/>
          <w:szCs w:val="24"/>
        </w:rPr>
        <w:t>gri</w:t>
      </w:r>
      <w:proofErr w:type="spellEnd"/>
      <w:r w:rsidRPr="00744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05C">
        <w:rPr>
          <w:rFonts w:ascii="Arial" w:hAnsi="Arial" w:cs="Arial"/>
          <w:sz w:val="24"/>
          <w:szCs w:val="24"/>
        </w:rPr>
        <w:t>inchis</w:t>
      </w:r>
      <w:proofErr w:type="spellEnd"/>
    </w:p>
    <w:p w:rsidR="00F62BBB" w:rsidRDefault="00F62BBB" w:rsidP="00F62BBB">
      <w:pPr>
        <w:pStyle w:val="NoSpacing"/>
      </w:pPr>
    </w:p>
    <w:p w:rsidR="0074405C" w:rsidRDefault="0074405C" w:rsidP="00F62BB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F62BBB" w:rsidTr="00911818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F62BBB" w:rsidRDefault="00F62BBB" w:rsidP="00F62BBB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MoS2 </w:t>
            </w:r>
            <w:proofErr w:type="spellStart"/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Hochdruckfett</w:t>
            </w:r>
            <w:proofErr w:type="spellEnd"/>
          </w:p>
          <w:p w:rsidR="00F62BBB" w:rsidRPr="002B01EE" w:rsidRDefault="00F62BBB" w:rsidP="00F62BBB">
            <w:pPr>
              <w:jc w:val="center"/>
              <w:rPr>
                <w:rFonts w:ascii="Arial" w:hAnsi="Arial" w:cs="Arial"/>
              </w:rPr>
            </w:pPr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</w:t>
            </w:r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nsoare</w:t>
            </w:r>
            <w:proofErr w:type="spellEnd"/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</w:t>
            </w:r>
            <w:proofErr w:type="spellStart"/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presiune</w:t>
            </w:r>
            <w:proofErr w:type="spellEnd"/>
            <w:r w:rsidRPr="00F62B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MoS2)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62BBB" w:rsidRPr="002C5AA4" w:rsidRDefault="00F62BBB" w:rsidP="00911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62BBB" w:rsidRDefault="00F62BBB" w:rsidP="00911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F62BBB" w:rsidRPr="002C5AA4" w:rsidRDefault="00F62BBB" w:rsidP="00911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62BBB" w:rsidTr="00911818">
        <w:trPr>
          <w:trHeight w:val="278"/>
        </w:trPr>
        <w:tc>
          <w:tcPr>
            <w:tcW w:w="5598" w:type="dxa"/>
            <w:tcBorders>
              <w:right w:val="single" w:sz="4" w:space="0" w:color="auto"/>
            </w:tcBorders>
          </w:tcPr>
          <w:p w:rsidR="00F62BBB" w:rsidRPr="00E57BF5" w:rsidRDefault="00F62BBB" w:rsidP="0091181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g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cilindric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62BBB" w:rsidRPr="00E57BF5" w:rsidRDefault="00F62BBB" w:rsidP="009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62BBB" w:rsidRPr="00E57BF5" w:rsidRDefault="00F62BBB" w:rsidP="00911818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F62BBB" w:rsidTr="00911818">
        <w:trPr>
          <w:trHeight w:val="296"/>
        </w:trPr>
        <w:tc>
          <w:tcPr>
            <w:tcW w:w="5598" w:type="dxa"/>
          </w:tcPr>
          <w:p w:rsidR="00F62BBB" w:rsidRPr="00E57BF5" w:rsidRDefault="00F62BBB" w:rsidP="0091181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1kg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Cutie</w:t>
            </w:r>
          </w:p>
        </w:tc>
        <w:tc>
          <w:tcPr>
            <w:tcW w:w="1890" w:type="dxa"/>
          </w:tcPr>
          <w:p w:rsidR="00F62BBB" w:rsidRPr="00E57BF5" w:rsidRDefault="00F62BBB" w:rsidP="009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F62BBB" w:rsidRPr="00E57BF5" w:rsidRDefault="00F62BBB" w:rsidP="00911818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20</w:t>
            </w:r>
          </w:p>
        </w:tc>
      </w:tr>
    </w:tbl>
    <w:p w:rsidR="00F62BBB" w:rsidRDefault="00F62BBB" w:rsidP="00F62BBB">
      <w:pPr>
        <w:pStyle w:val="NoSpacing"/>
      </w:pPr>
    </w:p>
    <w:sectPr w:rsidR="00F62BB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F62BBB"/>
    <w:rsid w:val="002B6B8B"/>
    <w:rsid w:val="005A15C9"/>
    <w:rsid w:val="0074405C"/>
    <w:rsid w:val="00AA056F"/>
    <w:rsid w:val="00E03082"/>
    <w:rsid w:val="00F6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2BBB"/>
    <w:pPr>
      <w:spacing w:after="0" w:line="240" w:lineRule="auto"/>
    </w:pPr>
  </w:style>
  <w:style w:type="table" w:styleId="TableGrid">
    <w:name w:val="Table Grid"/>
    <w:basedOn w:val="TableNormal"/>
    <w:uiPriority w:val="59"/>
    <w:rsid w:val="00F6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2010-09-12T20:49:00Z</dcterms:created>
  <dcterms:modified xsi:type="dcterms:W3CDTF">2010-09-12T21:28:00Z</dcterms:modified>
</cp:coreProperties>
</file>